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BF" w:rsidRDefault="0088749B">
      <w:pPr>
        <w:rPr>
          <w:sz w:val="16"/>
        </w:rPr>
      </w:pPr>
      <w:r>
        <w:rPr>
          <w:sz w:val="16"/>
        </w:rPr>
        <w:t>South Pasadena High School</w:t>
      </w:r>
    </w:p>
    <w:p w:rsidR="00031FBF" w:rsidRDefault="0088749B">
      <w:pPr>
        <w:rPr>
          <w:sz w:val="16"/>
        </w:rPr>
      </w:pPr>
      <w:r>
        <w:rPr>
          <w:sz w:val="16"/>
        </w:rPr>
        <w:t>The English Seminar--AP [Nicholson]</w:t>
      </w:r>
    </w:p>
    <w:p w:rsidR="00031FBF" w:rsidRDefault="004F3E76">
      <w:pPr>
        <w:framePr w:hSpace="187" w:wrap="around" w:vAnchor="text" w:hAnchor="margin" w:y="433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1085850" cy="6000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FBF" w:rsidRDefault="00031FBF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610"/>
        <w:gridCol w:w="5418"/>
      </w:tblGrid>
      <w:tr w:rsidR="00031FBF">
        <w:trPr>
          <w:gridAfter w:val="1"/>
          <w:wAfter w:w="5418" w:type="dxa"/>
          <w:jc w:val="center"/>
        </w:trPr>
        <w:tc>
          <w:tcPr>
            <w:tcW w:w="2610" w:type="dxa"/>
            <w:tcBorders>
              <w:bottom w:val="single" w:sz="6" w:space="0" w:color="808080"/>
            </w:tcBorders>
          </w:tcPr>
          <w:p w:rsidR="00031FBF" w:rsidRPr="00CB2B25" w:rsidRDefault="0088749B">
            <w:pPr>
              <w:framePr w:h="0" w:hSpace="180" w:wrap="around" w:vAnchor="text" w:hAnchor="text" w:x="1908" w:y="1"/>
              <w:rPr>
                <w:rFonts w:ascii="Eccentric Std" w:hAnsi="Eccentric Std"/>
                <w:b/>
                <w:sz w:val="36"/>
              </w:rPr>
            </w:pPr>
            <w:r w:rsidRPr="00CB2B25">
              <w:rPr>
                <w:rFonts w:ascii="Eccentric Std" w:hAnsi="Eccentric Std"/>
                <w:b/>
                <w:sz w:val="36"/>
              </w:rPr>
              <w:t>Oscar Wilde</w:t>
            </w:r>
          </w:p>
        </w:tc>
      </w:tr>
      <w:tr w:rsidR="00031FBF" w:rsidTr="004F3E76">
        <w:trPr>
          <w:jc w:val="center"/>
        </w:trPr>
        <w:tc>
          <w:tcPr>
            <w:tcW w:w="8028" w:type="dxa"/>
            <w:gridSpan w:val="2"/>
          </w:tcPr>
          <w:p w:rsidR="00031FBF" w:rsidRPr="00CB2B25" w:rsidRDefault="0088749B">
            <w:pPr>
              <w:framePr w:h="0" w:hSpace="180" w:wrap="around" w:vAnchor="text" w:hAnchor="text" w:x="1908" w:y="1"/>
              <w:spacing w:before="60"/>
              <w:rPr>
                <w:rFonts w:ascii="Eccentric Std" w:hAnsi="Eccentric Std"/>
                <w:b/>
                <w:sz w:val="6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B2B25">
              <w:rPr>
                <w:rFonts w:ascii="Eccentric Std" w:hAnsi="Eccentric Std"/>
                <w:b/>
                <w:sz w:val="6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The Importance of Being Earnest</w:t>
            </w:r>
          </w:p>
        </w:tc>
      </w:tr>
    </w:tbl>
    <w:p w:rsidR="00031FBF" w:rsidRDefault="00031FBF"/>
    <w:p w:rsidR="00031FBF" w:rsidRDefault="0088749B" w:rsidP="00CB2B25">
      <w:pPr>
        <w:rPr>
          <w:b/>
          <w:sz w:val="28"/>
        </w:rPr>
      </w:pPr>
      <w:r w:rsidRPr="004F3E76">
        <w:rPr>
          <w:rStyle w:val="Heading3Char"/>
        </w:rPr>
        <w:t>Questions</w:t>
      </w:r>
      <w:r w:rsidR="004F3E76">
        <w:rPr>
          <w:rStyle w:val="FootnoteReference"/>
          <w:b/>
          <w:sz w:val="28"/>
        </w:rPr>
        <w:footnoteReference w:id="1"/>
      </w:r>
    </w:p>
    <w:p w:rsidR="00031FBF" w:rsidRDefault="004F3E76" w:rsidP="00CB2B25">
      <w:pPr>
        <w:pStyle w:val="Questions"/>
        <w:numPr>
          <w:ilvl w:val="0"/>
          <w:numId w:val="1"/>
        </w:numPr>
      </w:pPr>
      <w:r>
        <w:t>The tone of the fi</w:t>
      </w:r>
      <w:r w:rsidR="0088749B">
        <w:t>rst conversation between Algernon and Jack alerts us that this is not a serious drama, but a comedy. Identify speci</w:t>
      </w:r>
      <w:r>
        <w:t>fi</w:t>
      </w:r>
      <w:r w:rsidR="0088749B">
        <w:t>c instances of humorous irony.</w:t>
      </w:r>
    </w:p>
    <w:p w:rsidR="00031FBF" w:rsidRDefault="0088749B" w:rsidP="00CB2B25">
      <w:pPr>
        <w:pStyle w:val="Questions"/>
        <w:numPr>
          <w:ilvl w:val="0"/>
          <w:numId w:val="1"/>
        </w:numPr>
      </w:pPr>
      <w:r>
        <w:t>Oscar Wilde—and his characters—delight in word-play and the invention of neologisms. “</w:t>
      </w:r>
      <w:proofErr w:type="spellStart"/>
      <w:r>
        <w:t>Bunbu</w:t>
      </w:r>
      <w:r>
        <w:t>r</w:t>
      </w:r>
      <w:r>
        <w:t>yist</w:t>
      </w:r>
      <w:proofErr w:type="spellEnd"/>
      <w:r>
        <w:t>” and “</w:t>
      </w:r>
      <w:proofErr w:type="spellStart"/>
      <w:r>
        <w:t>Bunburying</w:t>
      </w:r>
      <w:proofErr w:type="spellEnd"/>
      <w:r>
        <w:t>” are instances. De</w:t>
      </w:r>
      <w:r w:rsidR="004F3E76">
        <w:t>fi</w:t>
      </w:r>
      <w:r>
        <w:t>ne “</w:t>
      </w:r>
      <w:proofErr w:type="spellStart"/>
      <w:r>
        <w:t>Bunburying</w:t>
      </w:r>
      <w:proofErr w:type="spellEnd"/>
      <w:r>
        <w:t>” in your own words, and explain how “</w:t>
      </w:r>
      <w:proofErr w:type="spellStart"/>
      <w:r>
        <w:t>Bunburying</w:t>
      </w:r>
      <w:proofErr w:type="spellEnd"/>
      <w:r>
        <w:t>” contributes to the dramatic situation of this play.</w:t>
      </w:r>
    </w:p>
    <w:p w:rsidR="00031FBF" w:rsidRDefault="0088749B" w:rsidP="00CB2B25">
      <w:pPr>
        <w:pStyle w:val="Questions"/>
        <w:numPr>
          <w:ilvl w:val="0"/>
          <w:numId w:val="1"/>
        </w:numPr>
      </w:pPr>
      <w:r>
        <w:t xml:space="preserve">How much of what Lady </w:t>
      </w:r>
      <w:proofErr w:type="spellStart"/>
      <w:r>
        <w:t>Bracknell</w:t>
      </w:r>
      <w:proofErr w:type="spellEnd"/>
      <w:r>
        <w:t xml:space="preserve"> says can be taken seriously? How do her attitudes satirize the English upper class?</w:t>
      </w:r>
    </w:p>
    <w:p w:rsidR="00031FBF" w:rsidRDefault="0088749B" w:rsidP="00CB2B25">
      <w:pPr>
        <w:pStyle w:val="Questions"/>
        <w:numPr>
          <w:ilvl w:val="0"/>
          <w:numId w:val="1"/>
        </w:numPr>
        <w:suppressAutoHyphens/>
      </w:pPr>
      <w:r w:rsidRPr="004F3E76">
        <w:rPr>
          <w:rFonts w:asciiTheme="majorHAnsi" w:hAnsiTheme="majorHAnsi"/>
          <w:i/>
        </w:rPr>
        <w:t>The Importance of Being Earnest</w:t>
      </w:r>
      <w:r>
        <w:t xml:space="preserve"> burlesques not only the manners of society but also the clichés of nineteenth-century melodrama. Discuss the love-scene between Jack and </w:t>
      </w:r>
      <w:proofErr w:type="spellStart"/>
      <w:r>
        <w:t>Gwendolen</w:t>
      </w:r>
      <w:proofErr w:type="spellEnd"/>
      <w:r>
        <w:t xml:space="preserve"> and how it burlesques a conventional. </w:t>
      </w:r>
      <w:proofErr w:type="gramStart"/>
      <w:r>
        <w:t>sentimental</w:t>
      </w:r>
      <w:proofErr w:type="gramEnd"/>
      <w:r>
        <w:t xml:space="preserve"> love-scene.</w:t>
      </w:r>
    </w:p>
    <w:p w:rsidR="00031FBF" w:rsidRDefault="0088749B" w:rsidP="00CB2B25">
      <w:pPr>
        <w:pStyle w:val="Questions"/>
        <w:numPr>
          <w:ilvl w:val="0"/>
          <w:numId w:val="1"/>
        </w:numPr>
      </w:pPr>
      <w:r>
        <w:t>Foreshadowing, in the theater, is a clue or suggestion that some i</w:t>
      </w:r>
      <w:r>
        <w:t>m</w:t>
      </w:r>
      <w:r>
        <w:t>portant event will transpire or that some secret will be revealed. Is there any foreshadowing ea</w:t>
      </w:r>
      <w:r>
        <w:t>r</w:t>
      </w:r>
      <w:r>
        <w:t>ly in the play of the fact that Miss Prism left Jack in the hand-bag at Victoria Station?</w:t>
      </w:r>
    </w:p>
    <w:p w:rsidR="00031FBF" w:rsidRDefault="0088749B" w:rsidP="00CB2B25">
      <w:pPr>
        <w:pStyle w:val="Questions"/>
        <w:numPr>
          <w:ilvl w:val="0"/>
          <w:numId w:val="1"/>
        </w:numPr>
      </w:pPr>
      <w:r>
        <w:t>To what extent do the opinions and behavior of Canon Chasuble satirize the Church of England?</w:t>
      </w:r>
    </w:p>
    <w:p w:rsidR="00031FBF" w:rsidRDefault="0088749B" w:rsidP="00CB2B25">
      <w:pPr>
        <w:pStyle w:val="Questions"/>
        <w:numPr>
          <w:ilvl w:val="0"/>
          <w:numId w:val="1"/>
        </w:numPr>
      </w:pPr>
      <w:r>
        <w:t xml:space="preserve">A common form of comic irony occurs when a character </w:t>
      </w:r>
      <w:proofErr w:type="spellStart"/>
      <w:r>
        <w:t>suøers</w:t>
      </w:r>
      <w:proofErr w:type="spellEnd"/>
      <w:r>
        <w:t xml:space="preserve"> e</w:t>
      </w:r>
      <w:r>
        <w:t>m</w:t>
      </w:r>
      <w:r>
        <w:t>barrassment because he does not immediately understand his predi</w:t>
      </w:r>
      <w:r>
        <w:t>c</w:t>
      </w:r>
      <w:r>
        <w:t xml:space="preserve">ament. How is Jack an object of comic irony in Act </w:t>
      </w:r>
      <w:r w:rsidR="004F3E76">
        <w:t>2</w:t>
      </w:r>
      <w:r>
        <w:t>?</w:t>
      </w:r>
    </w:p>
    <w:p w:rsidR="00CB2B25" w:rsidRDefault="0088749B" w:rsidP="00CB2B25">
      <w:pPr>
        <w:pStyle w:val="Questions"/>
        <w:numPr>
          <w:ilvl w:val="0"/>
          <w:numId w:val="1"/>
        </w:numPr>
      </w:pPr>
      <w:r>
        <w:t xml:space="preserve">In ancient Greek drama, threatened characters were sometimes rescued by a </w:t>
      </w:r>
      <w:proofErr w:type="spellStart"/>
      <w:r w:rsidRPr="00CB2B25">
        <w:rPr>
          <w:i/>
        </w:rPr>
        <w:t>deus</w:t>
      </w:r>
      <w:proofErr w:type="spellEnd"/>
      <w:r w:rsidRPr="00CB2B25">
        <w:rPr>
          <w:i/>
        </w:rPr>
        <w:t xml:space="preserve"> ex </w:t>
      </w:r>
      <w:proofErr w:type="spellStart"/>
      <w:r w:rsidRPr="00CB2B25">
        <w:rPr>
          <w:i/>
        </w:rPr>
        <w:t>machina</w:t>
      </w:r>
      <w:proofErr w:type="spellEnd"/>
      <w:r>
        <w:t>, or god from the machine, who would swoop down on the stage to carry them out of harm’s way. The term has come to refer to any last-minute revelation that improves a character’s fortune. Explain how Jack bene</w:t>
      </w:r>
      <w:r w:rsidR="004F3E76">
        <w:t>fi</w:t>
      </w:r>
      <w:r>
        <w:t xml:space="preserve">ts from the </w:t>
      </w:r>
      <w:proofErr w:type="spellStart"/>
      <w:r w:rsidRPr="0004493A">
        <w:t>deus</w:t>
      </w:r>
      <w:proofErr w:type="spellEnd"/>
      <w:r w:rsidRPr="0004493A">
        <w:t xml:space="preserve"> ex </w:t>
      </w:r>
      <w:proofErr w:type="spellStart"/>
      <w:r w:rsidRPr="0004493A">
        <w:t>machina</w:t>
      </w:r>
      <w:proofErr w:type="spellEnd"/>
      <w:r w:rsidR="00CB2B25">
        <w:t xml:space="preserve"> eff</w:t>
      </w:r>
      <w:r>
        <w:t xml:space="preserve">ect in Act </w:t>
      </w:r>
      <w:r w:rsidR="004F3E76">
        <w:t>3</w:t>
      </w:r>
      <w:r>
        <w:t>.</w:t>
      </w:r>
      <w:bookmarkStart w:id="0" w:name="_GoBack"/>
      <w:r w:rsidR="008C37EC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4591050" y="6438900"/>
            <wp:positionH relativeFrom="margin">
              <wp:align>right</wp:align>
            </wp:positionH>
            <wp:positionV relativeFrom="margin">
              <wp:align>center</wp:align>
            </wp:positionV>
            <wp:extent cx="1600200" cy="2400300"/>
            <wp:effectExtent l="0" t="0" r="0" b="0"/>
            <wp:wrapTight wrapText="bothSides">
              <wp:wrapPolygon edited="1">
                <wp:start x="9771" y="7114"/>
                <wp:lineTo x="4500" y="16371"/>
                <wp:lineTo x="-900" y="19457"/>
                <wp:lineTo x="0" y="21429"/>
                <wp:lineTo x="21343" y="21429"/>
                <wp:lineTo x="21343" y="0"/>
                <wp:lineTo x="17743" y="-514"/>
                <wp:lineTo x="10929" y="0"/>
                <wp:lineTo x="9771" y="7114"/>
              </wp:wrapPolygon>
            </wp:wrapTight>
            <wp:docPr id="3" name="Picture 3" descr="C:\Users\Skip\Desktop\Coup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kip\Desktop\Coupl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031FBF" w:rsidRDefault="0088749B" w:rsidP="00CB2B25">
      <w:pPr>
        <w:pStyle w:val="Heading3"/>
      </w:pPr>
      <w:r>
        <w:t>Amassing evidence</w:t>
      </w:r>
    </w:p>
    <w:p w:rsidR="00031FBF" w:rsidRDefault="0088749B" w:rsidP="00CB2B25">
      <w:r>
        <w:t>The characters do not say what they think; what they say has little connection with what they do.</w:t>
      </w:r>
    </w:p>
    <w:tbl>
      <w:tblPr>
        <w:tblW w:w="0" w:type="auto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808080"/>
          <w:insideV w:val="single" w:sz="6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5148"/>
        <w:gridCol w:w="5148"/>
      </w:tblGrid>
      <w:tr w:rsidR="00031FBF">
        <w:tc>
          <w:tcPr>
            <w:tcW w:w="5148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C0C0C0"/>
            </w:tcBorders>
          </w:tcPr>
          <w:p w:rsidR="00031FBF" w:rsidRDefault="0088749B">
            <w:pPr>
              <w:spacing w:before="60" w:after="60"/>
              <w:jc w:val="center"/>
              <w:rPr>
                <w:i/>
              </w:rPr>
            </w:pPr>
            <w:r>
              <w:rPr>
                <w:i/>
              </w:rPr>
              <w:t>What they say…</w:t>
            </w:r>
          </w:p>
        </w:tc>
        <w:tc>
          <w:tcPr>
            <w:tcW w:w="5148" w:type="dxa"/>
            <w:tcBorders>
              <w:top w:val="single" w:sz="6" w:space="0" w:color="808080"/>
              <w:left w:val="single" w:sz="6" w:space="0" w:color="C0C0C0"/>
              <w:bottom w:val="nil"/>
              <w:right w:val="single" w:sz="6" w:space="0" w:color="808080"/>
            </w:tcBorders>
          </w:tcPr>
          <w:p w:rsidR="00031FBF" w:rsidRDefault="0088749B">
            <w:pPr>
              <w:spacing w:before="60" w:after="60"/>
              <w:jc w:val="center"/>
              <w:rPr>
                <w:i/>
              </w:rPr>
            </w:pPr>
            <w:r>
              <w:rPr>
                <w:i/>
              </w:rPr>
              <w:t>What they do…</w:t>
            </w:r>
          </w:p>
        </w:tc>
      </w:tr>
      <w:tr w:rsidR="00031FBF">
        <w:tc>
          <w:tcPr>
            <w:tcW w:w="5148" w:type="dxa"/>
            <w:tcBorders>
              <w:top w:val="single" w:sz="6" w:space="0" w:color="808080"/>
              <w:left w:val="single" w:sz="6" w:space="0" w:color="808080"/>
              <w:bottom w:val="single" w:sz="6" w:space="0" w:color="C0C0C0"/>
              <w:right w:val="nil"/>
            </w:tcBorders>
          </w:tcPr>
          <w:p w:rsidR="00031FBF" w:rsidRDefault="0088749B">
            <w:r>
              <w:t>Algernon and Jack deplore the doldrums of ma</w:t>
            </w:r>
            <w:r>
              <w:t>r</w:t>
            </w:r>
            <w:r>
              <w:t>riage and domesticity…</w:t>
            </w:r>
          </w:p>
          <w:p w:rsidR="00031FBF" w:rsidRDefault="00031FBF"/>
          <w:p w:rsidR="00031FBF" w:rsidRDefault="00031FBF"/>
        </w:tc>
        <w:tc>
          <w:tcPr>
            <w:tcW w:w="5148" w:type="dxa"/>
            <w:tcBorders>
              <w:top w:val="single" w:sz="6" w:space="0" w:color="808080"/>
              <w:left w:val="single" w:sz="6" w:space="0" w:color="C0C0C0"/>
              <w:bottom w:val="nil"/>
              <w:right w:val="single" w:sz="6" w:space="0" w:color="808080"/>
            </w:tcBorders>
          </w:tcPr>
          <w:p w:rsidR="00031FBF" w:rsidRDefault="00031FBF"/>
        </w:tc>
      </w:tr>
      <w:tr w:rsidR="00031FBF">
        <w:tc>
          <w:tcPr>
            <w:tcW w:w="5148" w:type="dxa"/>
            <w:tcBorders>
              <w:top w:val="nil"/>
              <w:left w:val="single" w:sz="6" w:space="0" w:color="808080"/>
              <w:bottom w:val="nil"/>
              <w:right w:val="single" w:sz="6" w:space="0" w:color="C0C0C0"/>
            </w:tcBorders>
          </w:tcPr>
          <w:p w:rsidR="00031FBF" w:rsidRDefault="0088749B">
            <w:r>
              <w:lastRenderedPageBreak/>
              <w:t>The Rev. Chasuble exalts the celibacy of the Prim</w:t>
            </w:r>
            <w:r>
              <w:t>i</w:t>
            </w:r>
            <w:r>
              <w:t>tive Church…</w:t>
            </w:r>
          </w:p>
          <w:p w:rsidR="00031FBF" w:rsidRDefault="00031FBF"/>
          <w:p w:rsidR="00031FBF" w:rsidRDefault="00031FBF"/>
        </w:tc>
        <w:tc>
          <w:tcPr>
            <w:tcW w:w="5148" w:type="dxa"/>
            <w:tcBorders>
              <w:top w:val="single" w:sz="6" w:space="0" w:color="C0C0C0"/>
              <w:left w:val="nil"/>
              <w:bottom w:val="nil"/>
              <w:right w:val="single" w:sz="6" w:space="0" w:color="808080"/>
            </w:tcBorders>
          </w:tcPr>
          <w:p w:rsidR="00031FBF" w:rsidRDefault="00031FBF"/>
        </w:tc>
      </w:tr>
      <w:tr w:rsidR="00031FBF">
        <w:tc>
          <w:tcPr>
            <w:tcW w:w="5148" w:type="dxa"/>
            <w:tcBorders>
              <w:top w:val="single" w:sz="6" w:space="0" w:color="C0C0C0"/>
              <w:left w:val="single" w:sz="6" w:space="0" w:color="808080"/>
              <w:bottom w:val="single" w:sz="6" w:space="0" w:color="808080"/>
              <w:right w:val="single" w:sz="6" w:space="0" w:color="C0C0C0"/>
            </w:tcBorders>
          </w:tcPr>
          <w:p w:rsidR="00031FBF" w:rsidRDefault="00031FBF"/>
          <w:p w:rsidR="00031FBF" w:rsidRDefault="00031FBF"/>
          <w:p w:rsidR="00031FBF" w:rsidRDefault="00031FBF"/>
          <w:p w:rsidR="00031FBF" w:rsidRDefault="00031FBF"/>
        </w:tc>
        <w:tc>
          <w:tcPr>
            <w:tcW w:w="5148" w:type="dxa"/>
            <w:tcBorders>
              <w:top w:val="single" w:sz="6" w:space="0" w:color="C0C0C0"/>
              <w:left w:val="nil"/>
              <w:bottom w:val="single" w:sz="6" w:space="0" w:color="808080"/>
              <w:right w:val="single" w:sz="6" w:space="0" w:color="808080"/>
            </w:tcBorders>
          </w:tcPr>
          <w:p w:rsidR="00031FBF" w:rsidRDefault="00031FBF"/>
        </w:tc>
      </w:tr>
    </w:tbl>
    <w:p w:rsidR="00031FBF" w:rsidRDefault="00031FBF"/>
    <w:p w:rsidR="00031FBF" w:rsidRDefault="0088749B">
      <w:r>
        <w:t>Regardless of the crucial implications of their situation, the characters respond with studied self-possession, with bland detachment, or nonchalant blandness…</w:t>
      </w:r>
    </w:p>
    <w:tbl>
      <w:tblPr>
        <w:tblW w:w="0" w:type="auto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3432"/>
        <w:gridCol w:w="3432"/>
        <w:gridCol w:w="3432"/>
      </w:tblGrid>
      <w:tr w:rsidR="00031FBF">
        <w:tc>
          <w:tcPr>
            <w:tcW w:w="3432" w:type="dxa"/>
          </w:tcPr>
          <w:p w:rsidR="00031FBF" w:rsidRDefault="0088749B">
            <w:pPr>
              <w:spacing w:before="60" w:after="60"/>
              <w:jc w:val="center"/>
              <w:rPr>
                <w:i/>
              </w:rPr>
            </w:pPr>
            <w:r>
              <w:rPr>
                <w:i/>
              </w:rPr>
              <w:t>What happens</w:t>
            </w:r>
            <w:proofErr w:type="gramStart"/>
            <w:r>
              <w:rPr>
                <w:i/>
              </w:rPr>
              <w:t>..</w:t>
            </w:r>
            <w:proofErr w:type="gramEnd"/>
          </w:p>
        </w:tc>
        <w:tc>
          <w:tcPr>
            <w:tcW w:w="3432" w:type="dxa"/>
          </w:tcPr>
          <w:p w:rsidR="00031FBF" w:rsidRDefault="0088749B">
            <w:pPr>
              <w:spacing w:before="60" w:after="60"/>
              <w:jc w:val="center"/>
              <w:rPr>
                <w:i/>
              </w:rPr>
            </w:pPr>
            <w:r>
              <w:rPr>
                <w:i/>
              </w:rPr>
              <w:t>What we expect…</w:t>
            </w:r>
          </w:p>
        </w:tc>
        <w:tc>
          <w:tcPr>
            <w:tcW w:w="3432" w:type="dxa"/>
          </w:tcPr>
          <w:p w:rsidR="00031FBF" w:rsidRDefault="0088749B">
            <w:pPr>
              <w:spacing w:before="60" w:after="60"/>
              <w:jc w:val="center"/>
              <w:rPr>
                <w:i/>
              </w:rPr>
            </w:pPr>
            <w:r>
              <w:rPr>
                <w:i/>
              </w:rPr>
              <w:t>What we hear…</w:t>
            </w:r>
          </w:p>
        </w:tc>
      </w:tr>
      <w:tr w:rsidR="00031FBF">
        <w:tc>
          <w:tcPr>
            <w:tcW w:w="3432" w:type="dxa"/>
          </w:tcPr>
          <w:p w:rsidR="00031FBF" w:rsidRDefault="0088749B">
            <w:r>
              <w:t xml:space="preserve">Lady </w:t>
            </w:r>
            <w:proofErr w:type="spellStart"/>
            <w:r>
              <w:t>Bracknell</w:t>
            </w:r>
            <w:proofErr w:type="spellEnd"/>
            <w:r>
              <w:t xml:space="preserve"> learns that </w:t>
            </w:r>
            <w:proofErr w:type="spellStart"/>
            <w:r>
              <w:t>Mr</w:t>
            </w:r>
            <w:proofErr w:type="spellEnd"/>
            <w:r>
              <w:t> </w:t>
            </w:r>
            <w:proofErr w:type="spellStart"/>
            <w:r>
              <w:t>Bunbury</w:t>
            </w:r>
            <w:proofErr w:type="spellEnd"/>
            <w:r>
              <w:t xml:space="preserve"> is ill</w:t>
            </w:r>
          </w:p>
          <w:p w:rsidR="00031FBF" w:rsidRDefault="00031FBF"/>
          <w:p w:rsidR="00031FBF" w:rsidRDefault="00031FBF"/>
        </w:tc>
        <w:tc>
          <w:tcPr>
            <w:tcW w:w="3432" w:type="dxa"/>
          </w:tcPr>
          <w:p w:rsidR="00031FBF" w:rsidRDefault="0088749B">
            <w:r>
              <w:t>Compassion or sympathy or at least delicacy</w:t>
            </w:r>
          </w:p>
        </w:tc>
        <w:tc>
          <w:tcPr>
            <w:tcW w:w="3432" w:type="dxa"/>
          </w:tcPr>
          <w:p w:rsidR="00031FBF" w:rsidRDefault="00031FBF"/>
        </w:tc>
      </w:tr>
      <w:tr w:rsidR="00031FBF">
        <w:tc>
          <w:tcPr>
            <w:tcW w:w="3432" w:type="dxa"/>
          </w:tcPr>
          <w:p w:rsidR="00031FBF" w:rsidRDefault="0088749B">
            <w:r>
              <w:t xml:space="preserve">Lady </w:t>
            </w:r>
            <w:proofErr w:type="spellStart"/>
            <w:r>
              <w:t>Bracknell</w:t>
            </w:r>
            <w:proofErr w:type="spellEnd"/>
            <w:r>
              <w:t xml:space="preserve"> learns that Jack is an orphan</w:t>
            </w:r>
          </w:p>
          <w:p w:rsidR="00031FBF" w:rsidRDefault="00031FBF"/>
          <w:p w:rsidR="00031FBF" w:rsidRDefault="00031FBF"/>
        </w:tc>
        <w:tc>
          <w:tcPr>
            <w:tcW w:w="3432" w:type="dxa"/>
          </w:tcPr>
          <w:p w:rsidR="00031FBF" w:rsidRDefault="0088749B">
            <w:r>
              <w:t>Compassion or sympathy or at least delicacy</w:t>
            </w:r>
          </w:p>
        </w:tc>
        <w:tc>
          <w:tcPr>
            <w:tcW w:w="3432" w:type="dxa"/>
          </w:tcPr>
          <w:p w:rsidR="00031FBF" w:rsidRDefault="00031FBF"/>
        </w:tc>
      </w:tr>
      <w:tr w:rsidR="00031FBF">
        <w:tc>
          <w:tcPr>
            <w:tcW w:w="3432" w:type="dxa"/>
          </w:tcPr>
          <w:p w:rsidR="00031FBF" w:rsidRDefault="0088749B">
            <w:r>
              <w:t xml:space="preserve">Lady </w:t>
            </w:r>
            <w:proofErr w:type="spellStart"/>
            <w:r>
              <w:t>Bracknell</w:t>
            </w:r>
            <w:proofErr w:type="spellEnd"/>
            <w:r>
              <w:t xml:space="preserve"> learns that Jack smokes</w:t>
            </w:r>
          </w:p>
          <w:p w:rsidR="00031FBF" w:rsidRDefault="00031FBF"/>
          <w:p w:rsidR="00031FBF" w:rsidRDefault="00031FBF"/>
        </w:tc>
        <w:tc>
          <w:tcPr>
            <w:tcW w:w="3432" w:type="dxa"/>
          </w:tcPr>
          <w:p w:rsidR="00031FBF" w:rsidRDefault="0088749B">
            <w:r>
              <w:t>Disapproval</w:t>
            </w:r>
          </w:p>
        </w:tc>
        <w:tc>
          <w:tcPr>
            <w:tcW w:w="3432" w:type="dxa"/>
          </w:tcPr>
          <w:p w:rsidR="00031FBF" w:rsidRDefault="00031FBF"/>
        </w:tc>
      </w:tr>
      <w:tr w:rsidR="00031FBF">
        <w:tc>
          <w:tcPr>
            <w:tcW w:w="3432" w:type="dxa"/>
          </w:tcPr>
          <w:p w:rsidR="00031FBF" w:rsidRDefault="0088749B">
            <w:r>
              <w:t xml:space="preserve">Cecily suggests Miss Prism that they might be a good </w:t>
            </w:r>
            <w:proofErr w:type="spellStart"/>
            <w:r>
              <w:t>inÿuence</w:t>
            </w:r>
            <w:proofErr w:type="spellEnd"/>
            <w:r>
              <w:t xml:space="preserve"> on the wicked Earnest</w:t>
            </w:r>
          </w:p>
          <w:p w:rsidR="00031FBF" w:rsidRDefault="00031FBF"/>
        </w:tc>
        <w:tc>
          <w:tcPr>
            <w:tcW w:w="3432" w:type="dxa"/>
          </w:tcPr>
          <w:p w:rsidR="00031FBF" w:rsidRDefault="0088749B">
            <w:r>
              <w:t>Agreement to a plan or at least approval of Cecily’s desire to help</w:t>
            </w:r>
          </w:p>
        </w:tc>
        <w:tc>
          <w:tcPr>
            <w:tcW w:w="3432" w:type="dxa"/>
          </w:tcPr>
          <w:p w:rsidR="00031FBF" w:rsidRDefault="00031FBF"/>
        </w:tc>
      </w:tr>
      <w:tr w:rsidR="00031FBF">
        <w:tc>
          <w:tcPr>
            <w:tcW w:w="3432" w:type="dxa"/>
          </w:tcPr>
          <w:p w:rsidR="00031FBF" w:rsidRDefault="00031FBF"/>
          <w:p w:rsidR="00031FBF" w:rsidRDefault="00031FBF"/>
          <w:p w:rsidR="00031FBF" w:rsidRDefault="00031FBF"/>
          <w:p w:rsidR="00031FBF" w:rsidRDefault="00031FBF"/>
        </w:tc>
        <w:tc>
          <w:tcPr>
            <w:tcW w:w="3432" w:type="dxa"/>
          </w:tcPr>
          <w:p w:rsidR="00031FBF" w:rsidRDefault="00031FBF"/>
        </w:tc>
        <w:tc>
          <w:tcPr>
            <w:tcW w:w="3432" w:type="dxa"/>
          </w:tcPr>
          <w:p w:rsidR="00031FBF" w:rsidRDefault="00031FBF"/>
        </w:tc>
      </w:tr>
    </w:tbl>
    <w:p w:rsidR="00031FBF" w:rsidRDefault="00031FBF"/>
    <w:p w:rsidR="00031FBF" w:rsidRDefault="0088749B" w:rsidP="004F3E76">
      <w:pPr>
        <w:pStyle w:val="Heading3"/>
        <w:pageBreakBefore/>
      </w:pPr>
      <w:r>
        <w:lastRenderedPageBreak/>
        <w:t>Some references from the play to explain</w:t>
      </w:r>
    </w:p>
    <w:p w:rsidR="00031FBF" w:rsidRDefault="0088749B" w:rsidP="004F3E76">
      <w:pPr>
        <w:pStyle w:val="Questions"/>
        <w:numPr>
          <w:ilvl w:val="0"/>
          <w:numId w:val="3"/>
        </w:numPr>
        <w:rPr>
          <w:smallCaps/>
        </w:rPr>
      </w:pPr>
      <w:r>
        <w:t xml:space="preserve">[Royal] </w:t>
      </w:r>
      <w:proofErr w:type="spellStart"/>
      <w:r>
        <w:t>Tunbridge</w:t>
      </w:r>
      <w:proofErr w:type="spellEnd"/>
      <w:r>
        <w:t xml:space="preserve"> Wells (Act </w:t>
      </w:r>
      <w:r w:rsidR="004F3E76">
        <w:t>1</w:t>
      </w:r>
      <w:r>
        <w:rPr>
          <w:smallCaps/>
        </w:rPr>
        <w:t>)</w:t>
      </w:r>
      <w:r>
        <w:rPr>
          <w:smallCaps/>
        </w:rPr>
        <w:tab/>
      </w:r>
    </w:p>
    <w:p w:rsidR="00031FBF" w:rsidRDefault="0088749B" w:rsidP="004F3E76">
      <w:pPr>
        <w:pStyle w:val="Questions"/>
        <w:numPr>
          <w:ilvl w:val="0"/>
          <w:numId w:val="3"/>
        </w:numPr>
      </w:pPr>
      <w:r>
        <w:t>Grosvenor Square</w:t>
      </w:r>
      <w:r>
        <w:tab/>
      </w:r>
    </w:p>
    <w:p w:rsidR="00031FBF" w:rsidRDefault="0088749B" w:rsidP="004F3E76">
      <w:pPr>
        <w:pStyle w:val="Questions"/>
        <w:numPr>
          <w:ilvl w:val="0"/>
          <w:numId w:val="3"/>
        </w:numPr>
      </w:pPr>
      <w:r>
        <w:t>Liberal Unionists</w:t>
      </w:r>
      <w:r>
        <w:tab/>
      </w:r>
    </w:p>
    <w:p w:rsidR="00031FBF" w:rsidRDefault="0088749B" w:rsidP="004F3E76">
      <w:pPr>
        <w:pStyle w:val="Questions"/>
        <w:numPr>
          <w:ilvl w:val="0"/>
          <w:numId w:val="3"/>
        </w:numPr>
      </w:pPr>
      <w:r>
        <w:t>the Gorgon</w:t>
      </w:r>
      <w:r>
        <w:tab/>
      </w:r>
    </w:p>
    <w:p w:rsidR="00031FBF" w:rsidRDefault="0088749B" w:rsidP="004F3E76">
      <w:pPr>
        <w:pStyle w:val="Questions"/>
        <w:numPr>
          <w:ilvl w:val="0"/>
          <w:numId w:val="3"/>
        </w:numPr>
      </w:pPr>
      <w:proofErr w:type="spellStart"/>
      <w:r>
        <w:t>Egeria</w:t>
      </w:r>
      <w:proofErr w:type="spellEnd"/>
      <w:r>
        <w:t xml:space="preserve"> (Act </w:t>
      </w:r>
      <w:r w:rsidR="004F3E76">
        <w:t>2</w:t>
      </w:r>
      <w:r>
        <w:t>)</w:t>
      </w:r>
      <w:r>
        <w:tab/>
      </w:r>
    </w:p>
    <w:p w:rsidR="00031FBF" w:rsidRDefault="0088749B" w:rsidP="004F3E76">
      <w:pPr>
        <w:pStyle w:val="Questions"/>
        <w:numPr>
          <w:ilvl w:val="0"/>
          <w:numId w:val="3"/>
        </w:numPr>
      </w:pPr>
      <w:proofErr w:type="spellStart"/>
      <w:r>
        <w:t>Lætitia</w:t>
      </w:r>
      <w:proofErr w:type="spellEnd"/>
      <w:r>
        <w:tab/>
      </w:r>
    </w:p>
    <w:p w:rsidR="00031FBF" w:rsidRDefault="0088749B" w:rsidP="004F3E76">
      <w:pPr>
        <w:pStyle w:val="Questions"/>
        <w:numPr>
          <w:ilvl w:val="0"/>
          <w:numId w:val="3"/>
        </w:numPr>
      </w:pPr>
      <w:r>
        <w:t>Evensong</w:t>
      </w:r>
      <w:r>
        <w:tab/>
      </w:r>
    </w:p>
    <w:p w:rsidR="00031FBF" w:rsidRDefault="0088749B" w:rsidP="004F3E76">
      <w:pPr>
        <w:pStyle w:val="Questions"/>
        <w:numPr>
          <w:ilvl w:val="0"/>
          <w:numId w:val="3"/>
        </w:numPr>
      </w:pPr>
      <w:r>
        <w:t>the Rupee</w:t>
      </w:r>
      <w:r>
        <w:tab/>
      </w:r>
    </w:p>
    <w:p w:rsidR="00031FBF" w:rsidRDefault="0088749B" w:rsidP="004F3E76">
      <w:pPr>
        <w:pStyle w:val="Questions"/>
        <w:numPr>
          <w:ilvl w:val="0"/>
          <w:numId w:val="3"/>
        </w:numPr>
      </w:pPr>
      <w:proofErr w:type="spellStart"/>
      <w:r>
        <w:t>Maréchal</w:t>
      </w:r>
      <w:proofErr w:type="spellEnd"/>
      <w:r>
        <w:t xml:space="preserve"> </w:t>
      </w:r>
      <w:proofErr w:type="spellStart"/>
      <w:r>
        <w:t>Niel</w:t>
      </w:r>
      <w:proofErr w:type="spellEnd"/>
      <w:r>
        <w:tab/>
      </w:r>
    </w:p>
    <w:p w:rsidR="00031FBF" w:rsidRDefault="0088749B" w:rsidP="004F3E76">
      <w:pPr>
        <w:pStyle w:val="Questions"/>
        <w:numPr>
          <w:ilvl w:val="0"/>
          <w:numId w:val="3"/>
        </w:numPr>
      </w:pPr>
      <w:r>
        <w:t>[clerical] celibacy</w:t>
      </w:r>
      <w:r>
        <w:tab/>
      </w:r>
    </w:p>
    <w:p w:rsidR="00031FBF" w:rsidRDefault="0088749B" w:rsidP="004F3E76">
      <w:pPr>
        <w:pStyle w:val="Questions"/>
        <w:numPr>
          <w:ilvl w:val="0"/>
          <w:numId w:val="3"/>
        </w:numPr>
      </w:pPr>
      <w:r>
        <w:t xml:space="preserve">the Court Guides (Act </w:t>
      </w:r>
      <w:r w:rsidR="004F3E76">
        <w:rPr>
          <w:smallCaps/>
        </w:rPr>
        <w:t>3</w:t>
      </w:r>
      <w:r>
        <w:t>)</w:t>
      </w:r>
      <w:r>
        <w:tab/>
      </w:r>
    </w:p>
    <w:p w:rsidR="00031FBF" w:rsidRDefault="0088749B" w:rsidP="004F3E76">
      <w:pPr>
        <w:pStyle w:val="Questions"/>
        <w:numPr>
          <w:ilvl w:val="0"/>
          <w:numId w:val="3"/>
        </w:numPr>
      </w:pPr>
      <w:r>
        <w:t>the Funds</w:t>
      </w:r>
      <w:r>
        <w:tab/>
      </w:r>
    </w:p>
    <w:p w:rsidR="00031FBF" w:rsidRDefault="0088749B" w:rsidP="004F3E76">
      <w:pPr>
        <w:pStyle w:val="Questions"/>
        <w:numPr>
          <w:ilvl w:val="0"/>
          <w:numId w:val="3"/>
        </w:numPr>
      </w:pPr>
      <w:r>
        <w:t>Perrier-</w:t>
      </w:r>
      <w:proofErr w:type="spellStart"/>
      <w:r>
        <w:t>Jouet</w:t>
      </w:r>
      <w:proofErr w:type="spellEnd"/>
      <w:r>
        <w:t>, Brut, ‘89</w:t>
      </w:r>
      <w:r>
        <w:tab/>
      </w:r>
    </w:p>
    <w:p w:rsidR="00031FBF" w:rsidRDefault="0088749B" w:rsidP="004F3E76">
      <w:pPr>
        <w:pStyle w:val="Questions"/>
        <w:numPr>
          <w:ilvl w:val="0"/>
          <w:numId w:val="3"/>
        </w:numPr>
      </w:pPr>
      <w:r>
        <w:t>Anabaptists</w:t>
      </w:r>
      <w:r>
        <w:tab/>
      </w:r>
    </w:p>
    <w:p w:rsidR="0088749B" w:rsidRDefault="0088749B" w:rsidP="004F3E76">
      <w:pPr>
        <w:pStyle w:val="Questions"/>
        <w:numPr>
          <w:ilvl w:val="0"/>
          <w:numId w:val="3"/>
        </w:numPr>
      </w:pPr>
      <w:r>
        <w:t xml:space="preserve">[Royal] </w:t>
      </w:r>
      <w:proofErr w:type="spellStart"/>
      <w:r>
        <w:t>Leamington</w:t>
      </w:r>
      <w:proofErr w:type="spellEnd"/>
      <w:r>
        <w:t xml:space="preserve"> [Spa]</w:t>
      </w:r>
      <w:r>
        <w:tab/>
      </w:r>
    </w:p>
    <w:sectPr w:rsidR="0088749B" w:rsidSect="004F3E76">
      <w:type w:val="continuous"/>
      <w:pgSz w:w="12240" w:h="15840"/>
      <w:pgMar w:top="720" w:right="1080" w:bottom="720" w:left="1080" w:header="36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2FB" w:rsidRDefault="00DE52FB" w:rsidP="004F3E76">
      <w:pPr>
        <w:spacing w:after="0"/>
      </w:pPr>
      <w:r>
        <w:separator/>
      </w:r>
    </w:p>
  </w:endnote>
  <w:endnote w:type="continuationSeparator" w:id="0">
    <w:p w:rsidR="00DE52FB" w:rsidRDefault="00DE52FB" w:rsidP="004F3E7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¸¼Àº °íµñ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ekto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centric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2FB" w:rsidRDefault="00DE52FB" w:rsidP="004F3E76">
      <w:pPr>
        <w:spacing w:after="0"/>
      </w:pPr>
      <w:r>
        <w:separator/>
      </w:r>
    </w:p>
  </w:footnote>
  <w:footnote w:type="continuationSeparator" w:id="0">
    <w:p w:rsidR="00DE52FB" w:rsidRDefault="00DE52FB" w:rsidP="004F3E76">
      <w:pPr>
        <w:spacing w:after="0"/>
      </w:pPr>
      <w:r>
        <w:continuationSeparator/>
      </w:r>
    </w:p>
  </w:footnote>
  <w:footnote w:id="1">
    <w:p w:rsidR="004F3E76" w:rsidRDefault="004F3E7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1-8 from Bergman, </w:t>
      </w:r>
      <w:r w:rsidRPr="004F3E76">
        <w:rPr>
          <w:i/>
        </w:rPr>
        <w:t>Heath Guide to Lit</w:t>
      </w:r>
      <w:r>
        <w:t>, 3rd.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0C62BD"/>
    <w:multiLevelType w:val="singleLevel"/>
    <w:tmpl w:val="8586E94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65BD453E"/>
    <w:multiLevelType w:val="singleLevel"/>
    <w:tmpl w:val="8586E94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7D6907C1"/>
    <w:multiLevelType w:val="singleLevel"/>
    <w:tmpl w:val="8586E94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mirrorMargins/>
  <w:hideSpellingErrors/>
  <w:hideGrammaticalErrors/>
  <w:proofState w:spelling="clean" w:grammar="clean"/>
  <w:attachedTemplate r:id="rId1"/>
  <w:defaultTabStop w:val="720"/>
  <w:autoHyphenation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E76"/>
    <w:rsid w:val="00031FBF"/>
    <w:rsid w:val="0004493A"/>
    <w:rsid w:val="004F3E76"/>
    <w:rsid w:val="0088749B"/>
    <w:rsid w:val="008C37EC"/>
    <w:rsid w:val="00CB2B25"/>
    <w:rsid w:val="00DE5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E76"/>
    <w:pPr>
      <w:spacing w:after="120" w:line="240" w:lineRule="auto"/>
    </w:pPr>
    <w:rPr>
      <w:rFonts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3E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3E76"/>
    <w:pPr>
      <w:keepNext/>
      <w:keepLines/>
      <w:pBdr>
        <w:top w:val="dotted" w:sz="4" w:space="1" w:color="984806" w:themeColor="accent6" w:themeShade="80"/>
      </w:pBdr>
      <w:spacing w:after="180"/>
      <w:outlineLvl w:val="1"/>
    </w:pPr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F3E76"/>
    <w:pPr>
      <w:spacing w:before="180"/>
      <w:outlineLvl w:val="2"/>
    </w:pPr>
    <w:rPr>
      <w:b w:val="0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ascii="Tekton" w:hAnsi="Tekton"/>
      <w:sz w:val="28"/>
    </w:rPr>
  </w:style>
  <w:style w:type="paragraph" w:styleId="EnvelopeReturn">
    <w:name w:val="envelope return"/>
    <w:basedOn w:val="Normal"/>
    <w:semiHidden/>
    <w:rPr>
      <w:rFonts w:ascii="Tekton" w:hAnsi="Tekton"/>
      <w:smallCaps/>
      <w:sz w:val="20"/>
    </w:rPr>
  </w:style>
  <w:style w:type="character" w:styleId="CommentReference">
    <w:name w:val="annotation reference"/>
    <w:basedOn w:val="DefaultParagraphFont"/>
    <w:semiHidden/>
    <w:rPr>
      <w:color w:val="FF0000"/>
      <w:sz w:val="28"/>
    </w:rPr>
  </w:style>
  <w:style w:type="paragraph" w:customStyle="1" w:styleId="Questions">
    <w:name w:val="Questions"/>
    <w:basedOn w:val="Normal"/>
  </w:style>
  <w:style w:type="paragraph" w:styleId="CommentText">
    <w:name w:val="annotation text"/>
    <w:basedOn w:val="Normal"/>
    <w:semiHidden/>
    <w:rPr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E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E76"/>
    <w:rPr>
      <w:rFonts w:ascii="Tahoma" w:hAnsi="Tahoma" w:cs="Tahoma"/>
      <w:sz w:val="16"/>
      <w:szCs w:val="16"/>
    </w:rPr>
  </w:style>
  <w:style w:type="paragraph" w:customStyle="1" w:styleId="SmallStuff">
    <w:name w:val="Small Stuff"/>
    <w:basedOn w:val="Normal"/>
    <w:link w:val="SmallStuffChar"/>
    <w:qFormat/>
    <w:rsid w:val="004F3E76"/>
    <w:rPr>
      <w:color w:val="auto"/>
      <w:sz w:val="22"/>
      <w:szCs w:val="22"/>
    </w:rPr>
  </w:style>
  <w:style w:type="character" w:customStyle="1" w:styleId="SmallStuffChar">
    <w:name w:val="Small Stuff Char"/>
    <w:link w:val="SmallStuff"/>
    <w:rsid w:val="004F3E76"/>
    <w:rPr>
      <w:rFonts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4F3E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3E76"/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F3E76"/>
    <w:rPr>
      <w:rFonts w:asciiTheme="majorHAnsi" w:eastAsiaTheme="majorEastAsia" w:hAnsiTheme="majorHAnsi" w:cstheme="majorBidi"/>
      <w:bCs/>
      <w:i/>
      <w:color w:val="80000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F3E76"/>
    <w:pPr>
      <w:pBdr>
        <w:bottom w:val="single" w:sz="4" w:space="1" w:color="C00000"/>
      </w:pBdr>
      <w:spacing w:after="240"/>
    </w:pPr>
    <w:rPr>
      <w:rFonts w:ascii="Cambria" w:hAnsi="Cambria"/>
      <w:color w:val="800000"/>
      <w:sz w:val="36"/>
      <w:szCs w:val="36"/>
      <w:lang w:val="nl-BE"/>
    </w:rPr>
  </w:style>
  <w:style w:type="character" w:customStyle="1" w:styleId="TitleChar">
    <w:name w:val="Title Char"/>
    <w:link w:val="Title"/>
    <w:uiPriority w:val="10"/>
    <w:rsid w:val="004F3E76"/>
    <w:rPr>
      <w:rFonts w:ascii="Cambria" w:hAnsi="Cambria" w:cs="Calibri"/>
      <w:color w:val="800000"/>
      <w:sz w:val="36"/>
      <w:szCs w:val="36"/>
      <w:lang w:val="nl-BE"/>
    </w:rPr>
  </w:style>
  <w:style w:type="paragraph" w:styleId="ListParagraph">
    <w:name w:val="List Paragraph"/>
    <w:basedOn w:val="Normal"/>
    <w:uiPriority w:val="34"/>
    <w:qFormat/>
    <w:rsid w:val="004F3E7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F3E7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3E76"/>
    <w:rPr>
      <w:rFonts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3E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E76"/>
    <w:pPr>
      <w:spacing w:after="120" w:line="240" w:lineRule="auto"/>
    </w:pPr>
    <w:rPr>
      <w:rFonts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3E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3E76"/>
    <w:pPr>
      <w:keepNext/>
      <w:keepLines/>
      <w:pBdr>
        <w:top w:val="dotted" w:sz="4" w:space="1" w:color="984806" w:themeColor="accent6" w:themeShade="80"/>
      </w:pBdr>
      <w:spacing w:after="180"/>
      <w:outlineLvl w:val="1"/>
    </w:pPr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F3E76"/>
    <w:pPr>
      <w:spacing w:before="180"/>
      <w:outlineLvl w:val="2"/>
    </w:pPr>
    <w:rPr>
      <w:b w:val="0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ascii="Tekton" w:hAnsi="Tekton"/>
      <w:sz w:val="28"/>
    </w:rPr>
  </w:style>
  <w:style w:type="paragraph" w:styleId="EnvelopeReturn">
    <w:name w:val="envelope return"/>
    <w:basedOn w:val="Normal"/>
    <w:semiHidden/>
    <w:rPr>
      <w:rFonts w:ascii="Tekton" w:hAnsi="Tekton"/>
      <w:smallCaps/>
      <w:sz w:val="20"/>
    </w:rPr>
  </w:style>
  <w:style w:type="character" w:styleId="CommentReference">
    <w:name w:val="annotation reference"/>
    <w:basedOn w:val="DefaultParagraphFont"/>
    <w:semiHidden/>
    <w:rPr>
      <w:color w:val="FF0000"/>
      <w:sz w:val="28"/>
    </w:rPr>
  </w:style>
  <w:style w:type="paragraph" w:customStyle="1" w:styleId="Questions">
    <w:name w:val="Questions"/>
    <w:basedOn w:val="Normal"/>
  </w:style>
  <w:style w:type="paragraph" w:styleId="CommentText">
    <w:name w:val="annotation text"/>
    <w:basedOn w:val="Normal"/>
    <w:semiHidden/>
    <w:rPr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E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E76"/>
    <w:rPr>
      <w:rFonts w:ascii="Tahoma" w:hAnsi="Tahoma" w:cs="Tahoma"/>
      <w:sz w:val="16"/>
      <w:szCs w:val="16"/>
    </w:rPr>
  </w:style>
  <w:style w:type="paragraph" w:customStyle="1" w:styleId="SmallStuff">
    <w:name w:val="Small Stuff"/>
    <w:basedOn w:val="Normal"/>
    <w:link w:val="SmallStuffChar"/>
    <w:qFormat/>
    <w:rsid w:val="004F3E76"/>
    <w:rPr>
      <w:color w:val="auto"/>
      <w:sz w:val="22"/>
      <w:szCs w:val="22"/>
    </w:rPr>
  </w:style>
  <w:style w:type="character" w:customStyle="1" w:styleId="SmallStuffChar">
    <w:name w:val="Small Stuff Char"/>
    <w:link w:val="SmallStuff"/>
    <w:rsid w:val="004F3E76"/>
    <w:rPr>
      <w:rFonts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4F3E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3E76"/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F3E76"/>
    <w:rPr>
      <w:rFonts w:asciiTheme="majorHAnsi" w:eastAsiaTheme="majorEastAsia" w:hAnsiTheme="majorHAnsi" w:cstheme="majorBidi"/>
      <w:bCs/>
      <w:i/>
      <w:color w:val="80000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F3E76"/>
    <w:pPr>
      <w:pBdr>
        <w:bottom w:val="single" w:sz="4" w:space="1" w:color="C00000"/>
      </w:pBdr>
      <w:spacing w:after="240"/>
    </w:pPr>
    <w:rPr>
      <w:rFonts w:ascii="Cambria" w:hAnsi="Cambria"/>
      <w:color w:val="800000"/>
      <w:sz w:val="36"/>
      <w:szCs w:val="36"/>
      <w:lang w:val="nl-BE"/>
    </w:rPr>
  </w:style>
  <w:style w:type="character" w:customStyle="1" w:styleId="TitleChar">
    <w:name w:val="Title Char"/>
    <w:link w:val="Title"/>
    <w:uiPriority w:val="10"/>
    <w:rsid w:val="004F3E76"/>
    <w:rPr>
      <w:rFonts w:ascii="Cambria" w:hAnsi="Cambria" w:cs="Calibri"/>
      <w:color w:val="800000"/>
      <w:sz w:val="36"/>
      <w:szCs w:val="36"/>
      <w:lang w:val="nl-BE"/>
    </w:rPr>
  </w:style>
  <w:style w:type="paragraph" w:styleId="ListParagraph">
    <w:name w:val="List Paragraph"/>
    <w:basedOn w:val="Normal"/>
    <w:uiPriority w:val="34"/>
    <w:qFormat/>
    <w:rsid w:val="004F3E7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F3E7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3E76"/>
    <w:rPr>
      <w:rFonts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3E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4W\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3E82E-6D24-4149-87D1-C405DBC94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XXX.DOT</Template>
  <TotalTime>13</TotalTime>
  <Pages>3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Pasadena High School</vt:lpstr>
    </vt:vector>
  </TitlesOfParts>
  <Company>at the Sign of the Dog</Company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Pasadena High School</dc:title>
  <dc:creator>Skip Nicholson</dc:creator>
  <cp:lastModifiedBy>Skip Nicholson</cp:lastModifiedBy>
  <cp:revision>4</cp:revision>
  <cp:lastPrinted>1994-05-27T06:57:00Z</cp:lastPrinted>
  <dcterms:created xsi:type="dcterms:W3CDTF">2012-08-29T04:08:00Z</dcterms:created>
  <dcterms:modified xsi:type="dcterms:W3CDTF">2012-08-29T04:26:00Z</dcterms:modified>
</cp:coreProperties>
</file>